
<file path=[Content_Types].xml><?xml version="1.0" encoding="utf-8"?>
<Types xmlns="http://schemas.openxmlformats.org/package/2006/content-types">
  <Default ContentType="application/x-font-ttf" Extension="eot"/>
  <Default ContentType="image/gif" Extension="gif"/>
  <Default ContentType="image/jpeg" Extension="jpeg"/>
  <Default ContentType="image/jpeg" Extension="jpg"/>
  <Default ContentType="application/x-font-ttf" Extension="otf"/>
  <Default ContentType="image/png" Extension="png"/>
  <Default ContentType="application/vnd.openxmlformats-package.relationships+xml" Extension="rels"/>
  <Default ContentType="image/tiff" Extension="tiff"/>
  <Default ContentType="application/x-font-ttf" Extension="ttf"/>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3940"/>
        <w:gridCol w:w="3600"/>
        <w:gridCol w:w="3860"/>
        <w:gridCol w:w="100"/>
      </w:tblGrid>
      <w:tr>
        <w:trPr>
          <w:trHeight w:hRule="exact" w:val="60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vMerge w:val="restart"/>
            <w:tcMar>
              <w:top w:w="0" w:type="dxa"/>
              <w:left w:w="0" w:type="dxa"/>
              <w:bottom w:w="0" w:type="dxa"/>
              <w:right w:w="0" w:type="dxa"/>
            </w:tcMar>
            <w:vAlign w:val="top"/>
          </w:tcPr>
          <w:p>
            <w:pPr>
              <w:jc w:val="left"/>
              <w:spacing w:lineRule="auto" w:line="240" w:after="0" w:before="0"/>
            </w:pPr>
            <w:r>
              <w:rPr/>
              <w:drawing>
                <wp:anchor distT="0" distB="0" distL="0" distR="0" simplePos="0" relativeHeight="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1312696076" name="Picture">
</wp:docPr>
                  <a:graphic>
                    <a:graphicData uri="http://schemas.openxmlformats.org/drawingml/2006/picture">
                      <pic:pic>
                        <pic:nvPicPr>
                          <pic:cNvPr id="1312696076" name="Picture"/>
                          <pic:cNvPicPr/>
                        </pic:nvPicPr>
                        <pic:blipFill>
                          <a:blip r:embed="img_0_0_3.jpg"/>
                          <a:srcRect/>
                          <a:stretch>
                            <a:fillRect l="0" t="0" r="8888" b="0"/>
                          </a:stretch>
                        </pic:blipFill>
                        <pic:spPr>
                          <a:xfrm rot="0">
                            <a:off x="0" y="0"/>
                            <a:ext cx="2286000" cy="635000"/>
                          </a:xfrm>
                          <a:prstGeom prst="rect"/>
                        </pic:spPr>
                      </pic:pic>
                    </a:graphicData>
                  </a:graphic>
                </wp:anchor>
              </w:drawing>
            </w: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vMerge w:val="continue"/>
            <w:tcMar>
              <w:top w:w="0" w:type="dxa"/>
              <w:left w:w="0" w:type="dxa"/>
              <w:bottom w:w="0" w:type="dxa"/>
              <w:right w:w="0" w:type="dxa"/>
            </w:tcMar>
            <w:vAlign w:val="top"/>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gridSpan w:val="3"/>
            <w:shd w:val="clear" w:color="auto" w:fill="FFFFFF"/>
            <w:tcBorders>
              <w:top w:val="single" w:sz="8" w:space="0" w:color="000000"/>
            </w:tcBorders>
            <w:tcMar>
              <w:top w:w="0" w:type="dxa"/>
              <w:left w:w="0" w:type="dxa"/>
              <w:bottom w:w="0" w:type="dxa"/>
              <w:right w:w="0" w:type="dxa"/>
            </w:tcMar>
          </w:tcPr>
          <w:p>
            <w:pPr>
              <w:pStyle w:val="EMPTY_CELL_STYLE"/>
            </w:pPr>
          </w:p>
        </w:tc>
        <w:tc>
          <w:tcPr>
     </w:tcPr>
          <w:p>
            <w:pPr>
              <w:pStyle w:val="EMPTY_CELL_STYLE"/>
            </w:pPr>
          </w:p>
        </w:tc>
      </w:tr>
      <w:tr>
        <w:trPr>
          <w:trHeight w:hRule="exact" w:val="15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u w:val="single"/>
              </w:rPr>
              <w:t xml:space="preserve">РУКОВОДСТВО ПО ЭКСПЕРТНОЙ ОЦЕНКЕ</w:t>
            </w:r>
          </w:p>
        </w:tc>
        <w:tc>
          <w:tcPr>
     </w:tcPr>
          <w:p>
            <w:pPr>
              <w:pStyle w:val="EMPTY_CELL_STYLE"/>
            </w:pPr>
          </w:p>
        </w:tc>
      </w:tr>
    </w:tbl>
    <w:tbl>
      <w:tblPr>
        <w:tblLayout w:type="fixed"/>
      </w:tblPr>
      <w:tblGrid>
        <w:gridCol w:w="1"/>
        <w:gridCol w:w="11400"/>
        <w:gridCol w:w="200"/>
        <w:gridCol w:w="1"/>
      </w:tblGrid>
      <w:tr>
        <w:trPr>
          <w:trHeight w:hRule="exact" w:val="0"/>
        </w:trPr>
        <w:tc>
          <w:tcPr>
     </w:tcPr>
          <w:p>
            <w:pPr>
              <w:pStyle w:val="EMPTY_CELL_STYLE"/>
              <w:pageBreakBefore/>
            </w:pPr>
            <w:bookmarkStart w:id="1" w:name="JR_PAGE_ANCHOR_0_2"/>
            <w:bookmarkEnd w:id="1"/>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tcMar>
              <w:top w:w="0" w:type="dxa"/>
              <w:left w:w="0" w:type="dxa"/>
              <w:bottom w:w="0" w:type="dxa"/>
              <w:right w:w="0" w:type="dxa"/>
            </w:tcMar>
            <w:vAlign w:val="center"/>
          </w:tcPr>
          <w:p>
            <w:pPr>
              <w:ind/>
              <w:jc w:val="both"/>
            </w:pPr>
            <w:r>
              <w:rPr>
                <w:rFonts w:ascii="Times New Roman" w:hAnsi="Times New Roman" w:eastAsia="Times New Roman" w:cs="Times New Roman"/>
                <w:color w:val="000000"/>
                <w:sz w:val="24"/>
                <w:b w:val="true"/>
              </w:rPr>
              <w:t xml:space="preserve">Оценка и сопоставление заявок (оценочная стадия) лот № 850.25.00425 Цветные многофункциональные печатающие устройства</w:t>
            </w:r>
          </w:p>
        </w:tc>
        <w:tc>
          <w:tcPr>
     </w:tcPr>
          <w:p>
            <w:pPr>
              <w:pStyle w:val="EMPTY_CELL_STYLE"/>
            </w:pPr>
          </w:p>
        </w:tc>
        <w:tc>
          <w:tcPr>
     </w:tcPr>
          <w:p>
            <w:pPr>
              <w:pStyle w:val="EMPTY_CELL_STYLE"/>
            </w:pPr>
          </w:p>
        </w:tc>
      </w:tr>
      <w:tr>
        <w:trPr>
          <w:trHeight w:hRule="atLeast" w:val="80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Pr>
          <w:p>
            <w:pPr>
              <w:pStyle w:val="EMPTY_CELL_STYLE"/>
            </w:pPr>
          </w:p>
        </w:tc>
        <w:tc>
          <w:tcPr>
     </w:tcPr>
          <w:p>
            <w:pPr>
              <w:pStyle w:val="EMPTY_CELL_STYLE"/>
            </w:pPr>
          </w:p>
        </w:tc>
      </w:tr>
      <w:tr>
        <w:trPr>
          <w:trHeight w:hRule="exact" w:val="3600"/>
        </w:trPr>
        <w:tc>
          <w:tcPr>
     </w:tcPr>
          <w:p>
            <w:pPr>
              <w:pStyle w:val="EMPTY_CELL_STYLE"/>
            </w:pPr>
          </w:p>
        </w:tc>
        <w:tc>
          <w:tcPr>
            <w:gridSpan w:val="2"/>
            <w:tcMar>
              <w:top w:w="0" w:type="dxa"/>
              <w:left w:w="0" w:type="dxa"/>
              <w:bottom w:w="0" w:type="dxa"/>
              <w:right w:w="0" w:type="dxa"/>
            </w:tcMar>
          </w:tcPr>
          <w:tbl>
            <w:tblPr>
              <w:tblLayout w:type="fixed"/>
            </w:tblPr>
            <w:tblGrid>
              <w:gridCol w:w="1000"/>
              <w:gridCol w:w="3000"/>
              <w:gridCol w:w="2000"/>
              <w:gridCol w:w="1400"/>
              <w:gridCol w:w="1400"/>
              <w:gridCol w:w="1400"/>
              <w:gridCol w:w="1400"/>
            </w:tblGrid>
            <w:tr>
              <w:trPr>
                <w:trHeight w:hRule="exact" w:val="30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п/п</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Направление</w:t>
                          <w:br/>
                          <w:br/>
                          <w:t xml:space="preserve">экспертной</w:t>
                          <w:br/>
                          <w:br/>
                          <w:t xml:space="preserve">оценки</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Краткое 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выставленного по критерию балла / полученного значения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Значимость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значимости критерия</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w:t>
                        </w:r>
                      </w:p>
                    </w:tc>
                  </w:tr>
                </w:tbl>
                <w:p>
                  <w:pPr>
                    <w:pStyle w:val="EMPTY_CELL_STYLE"/>
                  </w:pPr>
                </w:p>
              </w:tc>
            </w:tr>
          </w:tbl>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19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br/>
              <w:t xml:space="preserve">- на первом этапе проводиться экспертиза только по техническому направлению; </w:t>
              <w:br/>
              <w:t xml:space="preserve">- на втором этапе проводятся экспертизы по направлениям: экономическая безопасность, квалификационная, юридическая; </w:t>
              <w:br/>
              <w:t xml:space="preserve">- на третьем этапе проводится коммерческая экспертиза.</w:t>
            </w:r>
          </w:p>
        </w:tc>
        <w:tc>
          <w:tcPr>
     </w:tcPr>
          <w:p>
            <w:pPr>
              <w:pStyle w:val="EMPTY_CELL_STYLE"/>
            </w:pPr>
          </w:p>
        </w:tc>
        <w:tc>
          <w:tcPr>
     </w:tcPr>
          <w:p>
            <w:pPr>
              <w:pStyle w:val="EMPTY_CELL_STYLE"/>
            </w:pPr>
          </w:p>
        </w:tc>
      </w:tr>
      <w:tr>
        <w:trPr>
          <w:trHeight w:hRule="atLeast" w:val="54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Pr>
          <w:p>
            <w:pPr>
              <w:pStyle w:val="EMPTY_CELL_STYLE"/>
            </w:pPr>
          </w:p>
        </w:tc>
        <w:tc>
          <w:tcPr>
     </w:tcPr>
          <w:p>
            <w:pPr>
              <w:pStyle w:val="EMPTY_CELL_STYLE"/>
            </w:pPr>
          </w:p>
        </w:tc>
      </w:tr>
      <w:tr>
        <w:trPr>
          <w:trHeight w:hRule="exact" w:val="280"/>
        </w:trPr>
        <w:tc>
          <w:tcPr>
     </w:tcPr>
          <w:p>
            <w:pPr>
              <w:pStyle w:val="EMPTY_CELL_STYLE"/>
            </w:pPr>
          </w:p>
        </w:tc>
        <w:tc>
          <w:tcPr>
     </w:tcPr>
          <w:p>
            <w:pPr>
              <w:pStyle w:val="EMPTY_CELL_STYLE"/>
            </w:pPr>
          </w:p>
        </w:tc>
        <w:tc>
          <w:tcPr>
     </w:tcPr>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2" w:name="JR_PAGE_ANCHOR_0_3"/>
            <w:bookmarkEnd w:id="2"/>
          </w:p>
        </w:tc>
        <w:tc>
          <w:tcPr>
     </w:tcPr>
          <w:p>
            <w:pPr>
              <w:pStyle w:val="EMPTY_CELL_STYLE"/>
            </w:pPr>
          </w:p>
        </w:tc>
        <w:tc>
          <w:tcPr>
     </w:tcPr>
          <w:p>
            <w:pPr>
              <w:pStyle w:val="EMPTY_CELL_STYLE"/>
            </w:pPr>
          </w:p>
        </w:tc>
      </w:tr>
      <w:tr>
        <w:trPr>
          <w:trHeight w:hRule="exact" w:val="1628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1628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  Присвоение баллов заявкам по критерию 1 Цена договора, предложенная участником осуществляется в следующем порядке:</w:t>
                    <w:br/>
                    <w:t xml:space="preserve">первоначально проводится выбор шкалы оценок и присвоение плановой сумме базовой оценки: если хотя бы у одного участника Цена договора, предложенная участником (далее – ОФЕРТА) меньше начальной (максимальной) цены (далее – ГКПЗ), то шкала оценок от 1 до 5, плановая сумма ГКПЗ - 2 балла (сценарий 1), если все значения не меньше ГКПЗ, то шкала оценок от 1 до 3, плановая сумма ГКПЗ - 3 балла, т.е. максимум (сценарий 2):</w:t>
                    <w:br/>
                    <w:br/>
                    <w:t xml:space="preserve">ЕСЛИ(МИН(ДИАПАЗОН)&lt;ГКПЗ;</w:t>
                    <w:br/>
                    <w:br/>
                    <w:t xml:space="preserve">Сценарий 1: шкала оценок от 1 до 5. Проводится сопоставление ОФЕРТЫ участника и  ГКПЗ:</w:t>
                    <w:br/>
                    <w:br/>
                    <w:t xml:space="preserve">ЕСЛИ(ОФЕРТА/ГКПЗ)&gt;1;</w:t>
                    <w:br/>
                    <w:br/>
                    <w:t xml:space="preserve">Если оферта участника равна ГКПЗ, то такой Участник получает 2 балла. Другие участники оцениваются по одному из следующих сценариев 1а или 1б:</w:t>
                    <w:br/>
                    <w:t xml:space="preserve">Сценарий 1а: ОФЕРТА участника больше ГКПЗ. Выполняется расчёт оценок в диапазоне от 1 до 2:</w:t>
                    <w:br/>
                    <w:br/>
                    <w:t xml:space="preserve">ЕСЛИ(ОФЕРТА=МАКС(ДИАПАЗОН) то 1;</w:t>
                    <w:br/>
                    <w:br/>
                    <w:t xml:space="preserve">иначе ((МАКС(ДИАПАЗОН)-ОФЕРТА)/(МАКС(ДИАПАЗОН)-ГКПЗ))+1);</w:t>
                    <w:br/>
                    <w:br/>
                    <w:t xml:space="preserve">Сценарий 1б: ОФЕРТА участника меньше ГКПЗ. Проверяется, есть ли предложения участника меньше ГКПЗ на 30%:</w:t>
                    <w:br/>
                    <w:br/>
                    <w:t xml:space="preserve">ЕСЛИ((МИН(ДИАПАЗОН)/ГКПЗ)&lt;0,7;</w:t>
                    <w:br/>
                    <w:br/>
                    <w:t xml:space="preserve">если минимальное предложение меньше ГКПЗ на 30%, то максимальному баллу 5 соответствует минимальное предложение:</w:t>
                    <w:br/>
                    <w:br/>
                    <w:t xml:space="preserve">ЕСЛИ(ОФЕРТА=МИН(ДИАПАЗОН) то 5;</w:t>
                    <w:br/>
                    <w:br/>
                    <w:t xml:space="preserve">иначе ((ГКПЗ-ОФЕРТА)*3/(ГКПЗ-МИН(ДИАПАЗОН))+2));</w:t>
                    <w:br/>
                    <w:br/>
                    <w:t xml:space="preserve">если минимальное предложение не меньше ГКПЗ на 30%, то максимальному баллу 5 соответствует сумма ГКПЗ минус 30%. Выполняется расчёт оценки в диапазоне от 2 до 5:</w:t>
                    <w:br/>
                    <w:br/>
                    <w:t xml:space="preserve">((ГКПЗ-ОФЕРТА)/(ГКПЗ)*10)+2));</w:t>
                    <w:br/>
                    <w:br/>
                    <w:t xml:space="preserve">Сценарий 2: шкала оценок от 1 до 3. 3 балла получает Участник с ценой ОФЕРТЫ равной плановой сумме ГКПЗ. Расчёт оценок остальных участников выполняется в диапазоне от 1 до 3:</w:t>
                    <w:br/>
                    <w:br/>
                    <w:t xml:space="preserve">ЕСЛИ(ОФЕРТА=МАКС(ДИАПАЗОН) то 1;</w:t>
                    <w:br/>
                    <w:br/>
                    <w:t xml:space="preserve">иначе ((МАКС(ДИАПАЗОН)-ОФЕРТА)*2/(МАКС(ДИАПАЗОН)-ГКПЗ))+1);</w:t>
                    <w:br/>
                    <w:br/>
                    <w:t xml:space="preserve">В случае, если закупочная процедура проводится в соответствии с Федеральным законом от 18.07.2011 223-ФЗ, то оценка и сопоставление предложений участников будут проводиться с учетом положений Постановления Правительства Российской Федерации от 23.12.2024 № 1875</w:t>
                    <w:br/>
                    <w:t xml:space="preserve">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br/>
                    <w:br/>
                    <w:t xml:space="preserve">Исб = К1* В1</w:t>
                    <w:br/>
                    <w:br/>
                    <w:t xml:space="preserve">где:</w:t>
                    <w:br/>
                    <w:t xml:space="preserve">Исб– итоговая сумма баллов Конкурсной заявки;</w:t>
                    <w:br/>
                    <w:t xml:space="preserve">К1 –  сумма баллов по критерию «Цена договора, предложенная участником»;</w:t>
                    <w:br/>
                    <w:t xml:space="preserve">В1 – значимость критерия «Цена договора, предложенная участником»;</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3" w:name="JR_PAGE_ANCHOR_0_4"/>
            <w:bookmarkEnd w:id="3"/>
          </w:p>
        </w:tc>
        <w:tc>
          <w:tcPr>
     </w:tcPr>
          <w:p>
            <w:pPr>
              <w:pStyle w:val="EMPTY_CELL_STYLE"/>
            </w:pPr>
          </w:p>
        </w:tc>
        <w:tc>
          <w:tcPr>
     </w:tcPr>
          <w:p>
            <w:pPr>
              <w:pStyle w:val="EMPTY_CELL_STYLE"/>
            </w:pPr>
          </w:p>
        </w:tc>
      </w:tr>
      <w:tr>
        <w:trPr>
          <w:trHeight w:hRule="exact" w:val="200"/>
        </w:trPr>
        <w:tc>
          <w:tcPr>
     </w:tcPr>
          <w:p>
            <w:pPr>
              <w:pStyle w:val="EMPTY_CELL_STYLE"/>
            </w:pPr>
          </w:p>
        </w:tc>
        <w:tc>
          <w:tcPr>
     </w:tcPr>
          <w:p>
            <w:pPr>
              <w:pStyle w:val="EMPTY_CELL_STYLE"/>
            </w:pPr>
          </w:p>
        </w:tc>
        <w:tc>
          <w:tcPr>
     </w:tcPr>
          <w:p>
            <w:pPr>
              <w:pStyle w:val="EMPTY_CELL_STYLE"/>
            </w:pPr>
          </w:p>
        </w:tc>
      </w:tr>
      <w:tr>
        <w:trPr>
          <w:trHeight w:hRule="atLeast" w:val="30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 </w:t>
              <w:br/>
              <w:br/>
              <w:t xml:space="preserve"> 6.  При проведении процедуры переторжки предыдущее ранжирование участников считается предварительным.</w:t>
            </w:r>
          </w:p>
        </w:tc>
        <w:tc>
          <w:tcPr>
     </w:tcPr>
          <w:p>
            <w:pPr>
              <w:pStyle w:val="EMPTY_CELL_STYLE"/>
            </w:pPr>
          </w:p>
        </w:tc>
      </w:tr>
      <w:tr>
        <w:trPr>
          <w:trHeight w:hRule="atLeast" w:val="8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7.  В случае, если цены участников равны, Закупочная комиссия присваивает меньший порядковый номер участнику, заявка которого поступила ранее.</w:t>
            </w:r>
          </w:p>
        </w:tc>
        <w:tc>
          <w:tcPr>
     </w:tcPr>
          <w:p>
            <w:pPr>
              <w:pStyle w:val="EMPTY_CELL_STYLE"/>
            </w:pPr>
          </w:p>
        </w:tc>
      </w:tr>
    </w:tbl>
    <w:p>
      <w:pPr>
        <w:sectPr>
          <w:pgSz w:w="11900" w:h="16840" w:orient="portrait"/>
          <w:pgMar w:top="200" w:right="200" w:bottom="0" w:left="200" w:header="0" w:footer="0" w:gutter="0"/>
          <w:docGrid w:linePitch="360"/>
        </w:sectPr>
      </w:pPr>
    </w:p>
    <w:sectPr>
      <w:pgSz w:w="11900" w:h="16840" w:orient="portrait"/>
      <w:pgMar w:top="200" w:right="200" w:bottom="0" w:left="200" w:header="0" w:footer="0" w:gutter="0"/>
      <w:docGrid w:linePitch="360"/>
    </w:sectPr>
    <w:tbl>
      <w:tblPr>
        <w:tblLayout w:type="fixed"/>
      </w:tblPr>
      <w:tblGrid>
        <w:gridCol w:w="1"/>
        <w:gridCol w:w="20"/>
        <w:gridCol w:w="3600"/>
        <w:gridCol w:w="2000"/>
        <w:gridCol w:w="4900"/>
        <w:gridCol w:w="2280"/>
        <w:gridCol w:w="3300"/>
        <w:gridCol w:w="20"/>
        <w:gridCol w:w="320"/>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rPr>
              <w:t xml:space="preserve">Приложение 1 к руководству</w:t>
              <w:br/>
            </w:r>
          </w:p>
        </w:tc>
        <w:tc>
          <w:tcPr>
     </w:tcPr>
          <w:p>
            <w:pPr>
              <w:pStyle w:val="EMPTY_CELL_STYLE"/>
            </w:pPr>
          </w:p>
        </w:tc>
        <w:tc>
          <w:tcPr>
     </w:tcPr>
          <w:p>
            <w:pPr>
              <w:pStyle w:val="EMPTY_CELL_STYLE"/>
            </w:pPr>
          </w:p>
        </w:tc>
      </w:tr>
      <w:tr>
        <w:trPr>
          <w:trHeight w:hRule="exact" w:val="400"/>
        </w:trPr>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ПРИСВОЕНИЯ БАЛЛОВ</w:t>
            </w: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850.25.00425</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Коммерческая экспертиза</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5"/>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6"/>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 w:name="JR_PAGE_ANCHOR_0_1"/>
                  <w:bookmarkEnd w:id="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 w:name="JR_PAGE_ANCHOR_0_1"/>
                  <w:bookmarkEnd w:id="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 w:name="JR_PAGE_ANCHOR_0_1"/>
                  <w:bookmarkEnd w:id="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200"/>
        <w:gridCol w:w="1800"/>
        <w:gridCol w:w="7800"/>
        <w:gridCol w:w="1680"/>
        <w:gridCol w:w="20"/>
        <w:gridCol w:w="1580"/>
        <w:gridCol w:w="20"/>
        <w:gridCol w:w="1600"/>
        <w:gridCol w:w="1340"/>
        <w:gridCol w:w="400"/>
      </w:tblGrid>
      <w:tr>
        <w:trPr>
          <w:trHeight w:hRule="exact" w:val="0"/>
        </w:trPr>
        <w:tc>
          <w:tcPr>
     </w:tcPr>
          <w:p>
            <w:pPr>
              <w:pStyle w:val="EMPTY_CELL_STYLE"/>
              <w:pageBreakBefore/>
            </w:pPr>
            <w:bookmarkStart w:id="4" w:name="JR_PAGE_ANCHOR_0_2"/>
            <w:bookmarkEnd w:id="4"/>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gridSpan w:val="3"/>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Сумма ГКПЗ</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 п/п</w:t>
            </w:r>
          </w:p>
        </w:tc>
        <w:tc>
          <w:tcPr>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Наименование участника процедуры</w:t>
            </w:r>
          </w:p>
        </w:tc>
        <w:tc>
          <w:tcPr>
            <w:gridSpan w:val="2"/>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Цена договора, предложенная участником, руб. без НДС</w:t>
            </w: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400"/>
        </w:trPr>
        <w:tc>
          <w:tcPr>
     </w:tcPr>
          <w:p>
            <w:pPr>
              <w:pStyle w:val="EMPTY_CELL_STYLE"/>
            </w:pPr>
          </w:p>
        </w:tc>
        <w:tc>
          <w:tcPr>
     </w:tcPr>
          <w:p>
            <w:pPr>
              <w:pStyle w:val="EMPTY_CELL_STYLE"/>
            </w:pPr>
          </w:p>
        </w:tc>
        <w:tc>
          <w:tcPr>
            <w:gridSpan w:val="8"/>
            <w:tcMar>
              <w:top w:w="0" w:type="dxa"/>
              <w:left w:w="0" w:type="dxa"/>
              <w:bottom w:w="0" w:type="dxa"/>
              <w:right w:w="0" w:type="dxa"/>
            </w:tcMar>
          </w:tcPr>
          <w:tbl>
            <w:tblPr>
              <w:tblLayout w:type="fixed"/>
            </w:tblPr>
            <w:tblGrid>
              <w:gridCol w:w="8400"/>
              <w:gridCol w:w="740"/>
              <w:gridCol w:w="740"/>
              <w:gridCol w:w="740"/>
              <w:gridCol w:w="760"/>
              <w:gridCol w:w="760"/>
              <w:gridCol w:w="740"/>
              <w:gridCol w:w="740"/>
              <w:gridCol w:w="740"/>
              <w:gridCol w:w="740"/>
              <w:gridCol w:w="740"/>
            </w:tblGrid>
            <w:tr>
              <w:trPr>
                <w:trHeight w:hRule="exact" w:val="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(максимальная оценка по позиции –  5 баллов)</w:t>
                        </w:r>
                      </w:p>
                    </w:tc>
                  </w:tr>
                  <w:tr>
                    <w:trPr>
                      <w:trHeight w:hRule="exact" w:val="400"/>
                    </w:trPr>
                    <w:tc>
                      <w:tcPr>
                        <w:shd w:val="clear" w:color="auto" w:fill="FFFFFF"/>
                        <w:tcBorders>
                          <w:top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Критерии оценки</w:t>
                        </w:r>
                      </w:p>
                    </w:tc>
                  </w:tr>
                </w:tbl>
                <w:p>
                  <w:pPr>
                    <w:pStyle w:val="EMPTY_CELL_STYLE"/>
                  </w:pPr>
                </w:p>
              </w:tc>
              <w:tc>
                <w:tcPr>
                  <w:gridSpan w:val="10"/>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40"/>
                    <w:gridCol w:w="74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участника</w:t>
                        </w:r>
                      </w:p>
                    </w:tc>
                  </w:tr>
                </w:tbl>
                <w:p>
                  <w:pPr>
                    <w:pStyle w:val="EMPTY_CELL_STYLE"/>
                  </w:pPr>
                </w:p>
              </w:tc>
            </w:tr>
            <w:tr>
              <w:trPr>
                <w:trHeight w:hRule="exact" w:val="4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4</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5</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6</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7</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8</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9</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5" w:name="JR_PAGE_ANCHOR_0_2"/>
                  <w:bookmarkEnd w:id="5"/>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6" w:name="JR_PAGE_ANCHOR_0_2"/>
                  <w:bookmarkEnd w:id="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7" w:name="JR_PAGE_ANCHOR_0_2"/>
                  <w:bookmarkEnd w:id="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8" w:name="JR_PAGE_ANCHOR_0_2"/>
                  <w:bookmarkEnd w:id="8"/>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9" w:name="JR_PAGE_ANCHOR_0_2"/>
                  <w:bookmarkEnd w:id="9"/>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0" w:name="JR_PAGE_ANCHOR_0_2"/>
                  <w:bookmarkEnd w:id="10"/>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1" w:name="JR_PAGE_ANCHOR_0_2"/>
                  <w:bookmarkEnd w:id="1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2" w:name="JR_PAGE_ANCHOR_0_2"/>
                  <w:bookmarkEnd w:id="1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3" w:name="JR_PAGE_ANCHOR_0_2"/>
                  <w:bookmarkEnd w:id="13"/>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4" w:name="JR_PAGE_ANCHOR_0_2"/>
                  <w:bookmarkEnd w:id="14"/>
                </w:p>
                <w:p>
                  <w:r>
                    <w:br w:type="page"/>
                  </w:r>
                </w:p>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15" w:name="JR_PAGE_ANCHOR_0_3"/>
            <w:bookmarkEnd w:id="1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850.25.00425</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Экономическая безопасность</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16" w:name="JR_PAGE_ANCHOR_0_3"/>
                  <w:bookmarkEnd w:id="1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7" w:name="JR_PAGE_ANCHOR_0_3"/>
                  <w:bookmarkEnd w:id="1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8" w:name="JR_PAGE_ANCHOR_0_3"/>
                  <w:bookmarkEnd w:id="1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19" w:name="JR_PAGE_ANCHOR_0_4"/>
            <w:bookmarkEnd w:id="1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0" w:name="JR_PAGE_ANCHOR_0_5"/>
            <w:bookmarkEnd w:id="2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850.25.00425</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Техническая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1" w:name="JR_PAGE_ANCHOR_0_5"/>
                  <w:bookmarkEnd w:id="2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2" w:name="JR_PAGE_ANCHOR_0_5"/>
                  <w:bookmarkEnd w:id="2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3" w:name="JR_PAGE_ANCHOR_0_5"/>
                  <w:bookmarkEnd w:id="2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4" w:name="JR_PAGE_ANCHOR_0_6"/>
            <w:bookmarkEnd w:id="2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5" w:name="JR_PAGE_ANCHOR_0_7"/>
            <w:bookmarkEnd w:id="2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850.25.00425</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Юридическая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6" w:name="JR_PAGE_ANCHOR_0_7"/>
                  <w:bookmarkEnd w:id="2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7" w:name="JR_PAGE_ANCHOR_0_7"/>
                  <w:bookmarkEnd w:id="2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8" w:name="JR_PAGE_ANCHOR_0_7"/>
                  <w:bookmarkEnd w:id="2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9" w:name="JR_PAGE_ANCHOR_0_8"/>
            <w:bookmarkEnd w:id="2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0" w:name="JR_PAGE_ANCHOR_0_9"/>
            <w:bookmarkEnd w:id="3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850.25.00425</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Квалификационная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1" w:name="JR_PAGE_ANCHOR_0_9"/>
                  <w:bookmarkEnd w:id="3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2" w:name="JR_PAGE_ANCHOR_0_9"/>
                  <w:bookmarkEnd w:id="3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3" w:name="JR_PAGE_ANCHOR_0_9"/>
                  <w:bookmarkEnd w:id="3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4" w:name="JR_PAGE_ANCHOR_0_10"/>
            <w:bookmarkEnd w:id="3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sectPr>
      <w:pgSz w:w="16840" w:h="11900" w:orient="landscape"/>
      <w:pgMar w:top="200" w:right="200" w:bottom="0" w:left="200" w:header="0" w:footer="0" w:gutter="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s>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s>
</file>

<file path=word/_rels/document.xml.rels><?xml version="1.0" encoding="UTF-8" standalone="yes"?><Relationships xmlns="http://schemas.openxmlformats.org/package/2006/relationships"><Relationship Id="img_0_0_3.jpg" Target="media/img_0_0_3.jpg" Type="http://schemas.openxmlformats.org/officeDocument/2006/relationships/image"/><Relationship Id="rId1" Target="styles.xml" Type="http://schemas.openxmlformats.org/officeDocument/2006/relationships/styles"/><Relationship Id="rId2" Target="settings.xml" Type="http://schemas.openxmlformats.org/officeDocument/2006/relationships/settings"/><Relationship Id="rId3" Target="fontTable.xml" Type="http://schemas.openxmlformats.org/officeDocument/2006/relationships/fontTable"/></Relationships>
</file>

<file path=docProps/app.xml><?xml version="1.0" encoding="utf-8"?>
<Properties xmlns="http://schemas.openxmlformats.org/officeDocument/2006/extended-properties">
  <Application>JasperReports Library version 6.12.2-75c5e90a222ab406e416cbf590a5397028a52de3</Application>
</Properties>
</file>

<file path=docProps/core.xml><?xml version="1.0" encoding="utf-8"?>
<cp:coreProperties xmlns:cp="http://schemas.openxmlformats.org/package/2006/metadata/core-properties" xmlns:dc="http://purl.org/dc/elements/1.1/" xmlns:dcterms="http://purl.org/dc/terms/" xmlns:xsi="http://www.w3.org/2001/XMLSchema-instance"/>
</file>